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Better Boundaries ~ Worksheet - October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A worksheet to kickstart your awareness for this month – whatever comes up top of mind for you is the perfect response – no one will see this but you.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 Ideally, fill this in BEFORE you watch this month's tutorial.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When do you feel taken advantage of or taken for granted?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When do you tend to feel a bit resentful?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Which situations or who brings out the worst in you?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Why do you think that is? What is it that bothers you so much?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Where and with who are you biting your tongue, or avoiding conflict?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Who is “needy” in your life?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What do you always seem to run out of time for?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In what situations do you tend to feel guilty?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Why? What is it about this person or situation that brings guilt up for you?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____________________________________________________________________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When or where have you put your foot down and felt really good about it?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Well done – that’s a great first step in awareness for this month's module on Better Boundaries. We cannot transform that which we are unaware of - so that was great work.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Well done!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Go dive into the tutorial and your tools for this month.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2020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2020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