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venir Book" w:cs="Avenir Book" w:eastAsia="Avenir Book" w:hAnsi="Avenir Book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1 – July 2017 - The Better Boundary Foundry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 worksheet to kickstart your awareness for this month – whatever comes up top of mind for you is the perfect response – no one will see this but you. It’s your helpful thought-starter foundation for your wellbeing by stealth this month – so get cracking! Ideally, fill this in BEFORE you watch this month's tutorial.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Where do you feel you already have good boundaries?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6D7A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Physically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12"/>
          <w:szCs w:val="12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6D7A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Mentally (holding your own opinion and being okay to disagree)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12"/>
          <w:szCs w:val="12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6D7A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Fiscally / Materially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12"/>
          <w:szCs w:val="12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6D7A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Emotionally (not trying to “make” others happy, or expecting them to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“make” you happy)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12"/>
          <w:szCs w:val="12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6D7A8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Time / Commitment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In which areas do you feel you need to improve?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When do you most often feel resentful / pissed off / burned out / taken advantage of?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Are there particular people / relationships that make you feel consistently  resentful / pissed off / burned out / taken advantage of?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In what situations do you feel GUILTY?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Why? What is it about this person or situation that brings guilt up for you?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Well done – that’s a great first step in awareness for this month's module of awesomeness  ~The Better Boundary Foundry~.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sz w:val="26"/>
          <w:szCs w:val="26"/>
          <w:rtl w:val="0"/>
        </w:rPr>
        <w:t xml:space="preserve">We cannot transform that which we are unaware of - so that was great work.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sz w:val="26"/>
          <w:szCs w:val="26"/>
          <w:rtl w:val="0"/>
        </w:rPr>
        <w:t xml:space="preserve">Well done!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drawing>
          <wp:inline distB="114300" distT="114300" distL="114300" distR="114300">
            <wp:extent cx="1338263" cy="802958"/>
            <wp:effectExtent b="0" l="0" r="0" t="0"/>
            <wp:docPr descr="Signature_sml-220px.jpg" id="2" name="image4.jpg"/>
            <a:graphic>
              <a:graphicData uri="http://schemas.openxmlformats.org/drawingml/2006/picture">
                <pic:pic>
                  <pic:nvPicPr>
                    <pic:cNvPr descr="Signature_sml-220px.jpg"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802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6840" w:w="1190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  <w:font w:name="Avenir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60"/>
      </w:tabs>
      <w:contextualSpacing w:val="0"/>
      <w:rPr>
        <w:rFonts w:ascii="Trebuchet MS" w:cs="Trebuchet MS" w:eastAsia="Trebuchet MS" w:hAnsi="Trebuchet MS"/>
        <w:color w:val="666666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60"/>
      </w:tabs>
      <w:contextualSpacing w:val="0"/>
      <w:rPr>
        <w:color w:val="1155cc"/>
        <w:u w:val="single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color w:val="1155cc"/>
        <w:u w:val="single"/>
      </w:rPr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24.png"/><Relationship Id="rId13" Type="http://schemas.openxmlformats.org/officeDocument/2006/relationships/image" Target="media/image18.png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5" Type="http://schemas.openxmlformats.org/officeDocument/2006/relationships/image" Target="media/image4.jpg"/><Relationship Id="rId14" Type="http://schemas.openxmlformats.org/officeDocument/2006/relationships/image" Target="media/image16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image" Target="media/image22.png"/><Relationship Id="rId19" Type="http://schemas.openxmlformats.org/officeDocument/2006/relationships/footer" Target="footer2.xml"/><Relationship Id="rId6" Type="http://schemas.openxmlformats.org/officeDocument/2006/relationships/image" Target="media/image10.png"/><Relationship Id="rId18" Type="http://schemas.openxmlformats.org/officeDocument/2006/relationships/footer" Target="footer1.xml"/><Relationship Id="rId7" Type="http://schemas.openxmlformats.org/officeDocument/2006/relationships/image" Target="media/image20.png"/><Relationship Id="rId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3.jpg"/></Relationships>
</file>